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5ca6dedfd457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50889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PRUŽANJE USLUGA U ZAJEDNICI TEREZA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616.315,99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72.942,62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70.651,69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545.664,30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226.385,32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230.090,55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226.385,32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230.090,55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18.712,76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18.712,76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296.860,99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Uovom razdoblju ostvareni prihodi poslovanja iznose 616.315,99 €,</w:t>
      </w:r>
    </w:p>
    <w:p>
      <w:r>
        <w:t xml:space="preserve">a ostvareni rashodi poslovanja iznose 70.651,69 €.</w:t>
      </w:r>
    </w:p>
    <w:p>
      <w:r>
        <w:t xml:space="preserve">VIŠAK  prihoda poslovanja na kraju razdoblja iznosi 545.664,30 €.</w:t>
      </w:r>
    </w:p>
    <w:p>
      <w:r>
        <w:t xml:space="preserve">Rashodi za nabavu nefinancijske imovine su ostvareni u iznosu od 230.090,55 €,a to je ujedno ostvareni manjak prihoda od nefinancijske imovine.</w:t>
      </w:r>
    </w:p>
    <w:p>
      <w:r>
        <w:t xml:space="preserve">Izdaci za otplatu zajmova su ostvareni u iznosu od 18.712,76 €, a to je ostvareni manjak primitaka od financijske imovine u ovom razdoblju.</w:t>
      </w:r>
    </w:p>
    <w:p>
      <w:r>
        <w:t xml:space="preserve">Na kraju razdoblja ostvaren je višak prihoda i primitaka u iznosu od 296.860,99 €.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raspoloživ u sljedećem razdoblju (šifre X005 + '9221-9222' - Y005 - '9222-9221')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371.426,05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145.484,58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39,2</w:t>
            </w:r>
          </w:p>
        </w:tc>
      </w:tr>
    </w:tbl>
    <w:p>
      <w:pPr>
        <w:spacing w:before="0" w:after="0"/>
      </w:pPr>
    </w:p>
    <w:p>
      <w:r>
        <w:t xml:space="preserve">Na kraju razdoblja raspoloživ višak prihoda i primitaka za buduće razdolje iznosi 145.484,58  ovom razdoblju ostvaren je višak u iznosu od 296.860,99 € ,a prenesni manjak iz prethodne godine iznosi 151.376,41 €.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3.288.864,08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ukupnih obveza na kraju razdoblja iznosi 3.288.864,08 €.Dospjele obveze iznose 126.656,68 €  (za materijalne rashode i nabavu nefinancijske imovine ), a nedospjele obveze (za dugoročne zajmove ) iznose 3.162.207,40 €.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126.656,68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razdoblja iznos dospjelih obveza je 126.656,68 €, a odnose se na obvze za materijalne rashode te nabavu nefinancijske imovine.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06e58ef63a4255" /></Relationships>
</file>